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B56FD" w:rsidRPr="003F10BE" w:rsidRDefault="006B56FD" w:rsidP="00EC0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E432A2">
        <w:rPr>
          <w:rFonts w:ascii="Times New Roman" w:hAnsi="Times New Roman" w:cs="Times New Roman"/>
          <w:b/>
          <w:sz w:val="24"/>
          <w:szCs w:val="24"/>
        </w:rPr>
        <w:t>1</w:t>
      </w:r>
      <w:r w:rsidR="00785B0B">
        <w:rPr>
          <w:rFonts w:ascii="Times New Roman" w:hAnsi="Times New Roman" w:cs="Times New Roman"/>
          <w:b/>
          <w:sz w:val="24"/>
          <w:szCs w:val="24"/>
        </w:rPr>
        <w:t>7</w:t>
      </w:r>
      <w:r w:rsidRPr="003F10BE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85B0B">
        <w:rPr>
          <w:rFonts w:ascii="Times New Roman" w:hAnsi="Times New Roman" w:cs="Times New Roman"/>
          <w:b/>
          <w:sz w:val="24"/>
          <w:szCs w:val="24"/>
        </w:rPr>
        <w:t>5</w:t>
      </w:r>
      <w:r w:rsidR="000F7B92" w:rsidRPr="003F10BE">
        <w:rPr>
          <w:rFonts w:ascii="Times New Roman" w:hAnsi="Times New Roman" w:cs="Times New Roman"/>
          <w:b/>
          <w:sz w:val="24"/>
          <w:szCs w:val="24"/>
        </w:rPr>
        <w:t>.</w:t>
      </w:r>
      <w:r w:rsidR="005D1C26" w:rsidRPr="003F10BE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7F48B6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904103" w:rsidRPr="003F10BE">
        <w:rPr>
          <w:rFonts w:ascii="Times New Roman" w:hAnsi="Times New Roman" w:cs="Times New Roman"/>
          <w:b/>
          <w:sz w:val="24"/>
          <w:szCs w:val="24"/>
        </w:rPr>
        <w:t>.202</w:t>
      </w:r>
      <w:r w:rsidR="005D1C26" w:rsidRPr="003F10BE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F10B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B56FD" w:rsidRPr="003F10BE" w:rsidRDefault="006B56FD" w:rsidP="00EC001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о проведении закупа товаров способом запроса ценовых предложений</w:t>
      </w:r>
      <w:r w:rsidR="008A16E7" w:rsidRPr="003F10BE">
        <w:rPr>
          <w:rFonts w:ascii="Times New Roman" w:hAnsi="Times New Roman" w:cs="Times New Roman"/>
          <w:b/>
          <w:sz w:val="24"/>
          <w:szCs w:val="24"/>
        </w:rPr>
        <w:t>.</w:t>
      </w:r>
    </w:p>
    <w:p w:rsidR="00267532" w:rsidRPr="003F10BE" w:rsidRDefault="00267532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1.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 xml:space="preserve">Полное наименование и адрес местонахождения заказчика/организатора </w:t>
      </w:r>
      <w:r w:rsidR="000B61A2" w:rsidRPr="003F10BE">
        <w:rPr>
          <w:rFonts w:ascii="Times New Roman" w:hAnsi="Times New Roman" w:cs="Times New Roman"/>
          <w:bCs/>
          <w:sz w:val="24"/>
          <w:szCs w:val="24"/>
        </w:rPr>
        <w:t>закупок: КГП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на ПХВ «Городской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перенатальный центр </w:t>
      </w:r>
      <w:r w:rsidRPr="003F10BE">
        <w:rPr>
          <w:rFonts w:ascii="Times New Roman" w:hAnsi="Times New Roman" w:cs="Times New Roman"/>
          <w:bCs/>
          <w:sz w:val="24"/>
          <w:szCs w:val="24"/>
        </w:rPr>
        <w:t>№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2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» Управления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общественного 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здравоохранения Алматы, г. Алматы,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ул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Жангельдина</w:t>
      </w:r>
      <w:r w:rsidRPr="003F10BE">
        <w:rPr>
          <w:rFonts w:ascii="Times New Roman" w:hAnsi="Times New Roman" w:cs="Times New Roman"/>
          <w:bCs/>
          <w:sz w:val="24"/>
          <w:szCs w:val="24"/>
        </w:rPr>
        <w:t>, 28/20-22.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2.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Информация о закупе лекарственных средств указаны в Приложении №1 к настоящему объявлению (перечень закупаемых товаров).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3.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Поставка осуществляется по заявке Заказчика в течении 5 рабочих дней.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4.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К объявлению об осуществлении закупа лекарственных средств способом запроса ценовых предложений (далее – объявление) прилагаются перечень закупаемых лекарственных средств (Приложение №1 к объявлению), типовая форма ценового предложения (Приложение №4 к объявлению, утвержденная Приказ Министра здравоохранения Республики Казахстан от 12 ноября 2021 года № ҚР ДСМ-113.) и банковские реквизиты потенциального Поставщика являются неотъемлемой частью настоящего объявления.</w:t>
      </w:r>
    </w:p>
    <w:p w:rsidR="00FA48B9" w:rsidRPr="00FA48B9" w:rsidRDefault="003F10BE" w:rsidP="00FA48B9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5.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 xml:space="preserve">Ценовые предложения потенциальных поставщиков запечатанные в конверты, представляются по адресу: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г.Алматы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Жангельдина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28-22, здание – «Бухгалтерия», отдел государственных закупок, с 09 часов 00 минут </w:t>
      </w:r>
      <w:r w:rsidR="00785B0B">
        <w:rPr>
          <w:rFonts w:ascii="Times New Roman" w:hAnsi="Times New Roman" w:cs="Times New Roman"/>
          <w:bCs/>
          <w:sz w:val="24"/>
          <w:szCs w:val="24"/>
        </w:rPr>
        <w:t>5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.0</w:t>
      </w:r>
      <w:r w:rsidR="007F48B6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г. до 1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часов 00 минут </w:t>
      </w:r>
      <w:r w:rsidR="00B53B49">
        <w:rPr>
          <w:rFonts w:ascii="Times New Roman" w:hAnsi="Times New Roman" w:cs="Times New Roman"/>
          <w:bCs/>
          <w:sz w:val="24"/>
          <w:szCs w:val="24"/>
        </w:rPr>
        <w:t>1</w:t>
      </w:r>
      <w:r w:rsidR="00785B0B">
        <w:rPr>
          <w:rFonts w:ascii="Times New Roman" w:hAnsi="Times New Roman" w:cs="Times New Roman"/>
          <w:bCs/>
          <w:sz w:val="24"/>
          <w:szCs w:val="24"/>
        </w:rPr>
        <w:t>2</w:t>
      </w:r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="007F48B6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г. (режим работы с 0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8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часов 00 минут до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17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часов 00 минут за исключением выходных дней и обеденного перерыва с 13 часов 00 минут до 14 часов 00 минут). Вскрытие конвертов с ценовыми предложениями в 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>течении 2-х часов в кабинете Директора</w:t>
      </w:r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  <w:r w:rsidR="00FA48B9" w:rsidRPr="00FA48B9">
        <w:rPr>
          <w:bCs/>
        </w:rPr>
        <w:t xml:space="preserve"> 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6.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7.</w:t>
      </w:r>
      <w:r w:rsidRPr="003F10BE">
        <w:rPr>
          <w:rFonts w:ascii="Times New Roman" w:hAnsi="Times New Roman" w:cs="Times New Roman"/>
          <w:bCs/>
          <w:sz w:val="24"/>
          <w:szCs w:val="24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Правил*.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8.    На лицевой стороне запечатанного конверта с ценовым предложением потенциальный поставщик указывает: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наименование, адрес местонахождения, контактный телефон, электронный адрес потенциального поставщика; наименование, адрес местонахождения организатора закупок; наименование закупок товаров </w:t>
      </w:r>
      <w:proofErr w:type="gramStart"/>
      <w:r w:rsidRPr="003F10BE">
        <w:rPr>
          <w:rFonts w:ascii="Times New Roman" w:hAnsi="Times New Roman" w:cs="Times New Roman"/>
          <w:bCs/>
          <w:sz w:val="24"/>
          <w:szCs w:val="24"/>
        </w:rPr>
        <w:t>для</w:t>
      </w:r>
      <w:r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F10BE">
        <w:rPr>
          <w:rFonts w:ascii="Times New Roman" w:hAnsi="Times New Roman" w:cs="Times New Roman"/>
          <w:bCs/>
          <w:sz w:val="24"/>
          <w:szCs w:val="24"/>
        </w:rPr>
        <w:t>участия</w:t>
      </w:r>
      <w:proofErr w:type="gram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в которых предоставляется ценовое предложение потенциального поставщика.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9.  Конверт с ценовым предложением, предоставленный после истечения установленного срока и/или с нарушением требований пункта 7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>10. 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 Протокол размещается на интернет-ресурсе заказчика: https://almaty-roddom2.kz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11. Уполномоченный представитель организатора закупок: Карибаев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Бауржан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Халикенович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начальник отдела государственных закупок тел: +7-777-883-01-01, эл. адрес: </w:t>
      </w:r>
      <w:hyperlink r:id="rId8" w:history="1">
        <w:r w:rsidRPr="003F10BE">
          <w:rPr>
            <w:rStyle w:val="ad"/>
            <w:rFonts w:ascii="Times New Roman" w:hAnsi="Times New Roman" w:cs="Times New Roman"/>
            <w:bCs/>
            <w:sz w:val="24"/>
            <w:szCs w:val="24"/>
          </w:rPr>
          <w:t>zakup_</w:t>
        </w:r>
        <w:r w:rsidRPr="003F10BE">
          <w:rPr>
            <w:rStyle w:val="ad"/>
            <w:rFonts w:ascii="Times New Roman" w:hAnsi="Times New Roman" w:cs="Times New Roman"/>
            <w:bCs/>
            <w:sz w:val="24"/>
            <w:szCs w:val="24"/>
            <w:lang w:val="en-US"/>
          </w:rPr>
          <w:t>gpc</w:t>
        </w:r>
        <w:r w:rsidRPr="003F10BE">
          <w:rPr>
            <w:rStyle w:val="ad"/>
            <w:rFonts w:ascii="Times New Roman" w:hAnsi="Times New Roman" w:cs="Times New Roman"/>
            <w:bCs/>
            <w:sz w:val="24"/>
            <w:szCs w:val="24"/>
          </w:rPr>
          <w:t>2@mail.ru</w:t>
        </w:r>
      </w:hyperlink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</w:t>
      </w: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F10BE" w:rsidRPr="003F10BE" w:rsidRDefault="003F10BE" w:rsidP="003F10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3F10BE">
        <w:rPr>
          <w:rFonts w:ascii="Times New Roman" w:hAnsi="Times New Roman" w:cs="Times New Roman"/>
          <w:b/>
          <w:bCs/>
          <w:sz w:val="24"/>
          <w:szCs w:val="24"/>
        </w:rPr>
        <w:t>Приказ Министра здравоохранения Республики Казахстан от 7 июня 2023 года №110.</w:t>
      </w:r>
    </w:p>
    <w:p w:rsidR="00FA48B9" w:rsidRDefault="00FA48B9" w:rsidP="003F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F10BE" w:rsidRPr="003F10BE" w:rsidRDefault="00785B0B" w:rsidP="003F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5</w:t>
      </w:r>
      <w:r w:rsidR="003F10BE" w:rsidRPr="003F10BE">
        <w:rPr>
          <w:rFonts w:ascii="Times New Roman" w:hAnsi="Times New Roman" w:cs="Times New Roman"/>
          <w:b/>
          <w:sz w:val="24"/>
          <w:szCs w:val="24"/>
        </w:rPr>
        <w:t>.0</w:t>
      </w:r>
      <w:r w:rsidR="007F48B6"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3F10BE" w:rsidRPr="003F10BE">
        <w:rPr>
          <w:rFonts w:ascii="Times New Roman" w:hAnsi="Times New Roman" w:cs="Times New Roman"/>
          <w:b/>
          <w:sz w:val="24"/>
          <w:szCs w:val="24"/>
        </w:rPr>
        <w:t xml:space="preserve">.2024 </w:t>
      </w:r>
      <w:proofErr w:type="spellStart"/>
      <w:r w:rsidR="003F10BE" w:rsidRPr="003F10BE"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="003F10BE" w:rsidRPr="003F10B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E432A2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="003F10BE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0BE" w:rsidRPr="003F10BE">
        <w:rPr>
          <w:rFonts w:ascii="Times New Roman" w:hAnsi="Times New Roman" w:cs="Times New Roman"/>
          <w:b/>
          <w:sz w:val="24"/>
          <w:szCs w:val="24"/>
        </w:rPr>
        <w:t>хабарландыру</w:t>
      </w:r>
      <w:proofErr w:type="spellEnd"/>
    </w:p>
    <w:p w:rsidR="000C05E3" w:rsidRPr="003F10BE" w:rsidRDefault="003F10BE" w:rsidP="003F10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сұрату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тәсілімен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тауарларды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жүргізу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туралы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/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толық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орналасқан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мекен-жайы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: Алматы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қаласы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Қоғамдық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басқармасының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"№2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қалалық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перинаталдық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орталығы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"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шаруашылық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жүргізу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құқығындағы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коммуналдық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кәсіпорны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. Алматы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қаласы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Жангелдин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5C5711" w:rsidRPr="003F10BE">
        <w:rPr>
          <w:rFonts w:ascii="Times New Roman" w:hAnsi="Times New Roman" w:cs="Times New Roman"/>
          <w:bCs/>
          <w:sz w:val="24"/>
          <w:szCs w:val="24"/>
        </w:rPr>
        <w:t>көшесі</w:t>
      </w:r>
      <w:proofErr w:type="spellEnd"/>
      <w:r w:rsidR="005C5711" w:rsidRPr="003F10BE">
        <w:rPr>
          <w:rFonts w:ascii="Times New Roman" w:hAnsi="Times New Roman" w:cs="Times New Roman"/>
          <w:bCs/>
          <w:sz w:val="24"/>
          <w:szCs w:val="24"/>
        </w:rPr>
        <w:t>, 28/20-22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Дәрілік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заттарды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ақпарат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осы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№1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қосымшада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көрсетілген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алынатын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тауарлардың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тізбесі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).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Жеткізу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өтінімі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5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жұмыс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ішінде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Дәрілік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заттарды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іс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шараларын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туралы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сұрату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тәсілі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бұдан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әрі-хабарландыру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алынатын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дәрілік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заттардың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тізбесі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№1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қосымша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),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үлгілік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№4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қосымша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бекітілген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Қазақстан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Республикасы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министрінің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2021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жылғы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12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қарашадағы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№ ҚР ДСМ-113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Бұйрығы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.)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әлеуетті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Өнім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берушінің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банктік</w:t>
      </w:r>
      <w:proofErr w:type="spellEnd"/>
      <w:r w:rsidR="001A51AD"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A51AD" w:rsidRPr="003F10BE">
        <w:rPr>
          <w:rFonts w:ascii="Times New Roman" w:hAnsi="Times New Roman" w:cs="Times New Roman"/>
          <w:b/>
          <w:sz w:val="24"/>
          <w:szCs w:val="24"/>
        </w:rPr>
        <w:t>деректемелері</w:t>
      </w:r>
      <w:proofErr w:type="spellEnd"/>
      <w:r w:rsidR="001A51AD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10BE">
        <w:rPr>
          <w:rFonts w:ascii="Times New Roman" w:hAnsi="Times New Roman" w:cs="Times New Roman"/>
          <w:bCs/>
          <w:sz w:val="24"/>
          <w:szCs w:val="24"/>
        </w:rPr>
        <w:t xml:space="preserve">осы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ажырамас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бөлігі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табылады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8B9" w:rsidRDefault="000C05E3" w:rsidP="000C05E3">
      <w:pPr>
        <w:pStyle w:val="a3"/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берушілердің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конверттерге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мөрленген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ұсыныстары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мына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мекенжай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ұсынылады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: Алматы қ.,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Жангелдин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к-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28-22, "Бухгалтерия"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ғимараты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бөлімі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5B0B">
        <w:rPr>
          <w:rFonts w:ascii="Times New Roman" w:hAnsi="Times New Roman" w:cs="Times New Roman"/>
          <w:bCs/>
          <w:sz w:val="24"/>
          <w:szCs w:val="24"/>
          <w:lang w:val="kk-KZ"/>
        </w:rPr>
        <w:t>5</w:t>
      </w:r>
      <w:r w:rsidR="00E432A2">
        <w:rPr>
          <w:rFonts w:ascii="Times New Roman" w:hAnsi="Times New Roman" w:cs="Times New Roman"/>
          <w:bCs/>
          <w:sz w:val="24"/>
          <w:szCs w:val="24"/>
        </w:rPr>
        <w:t>.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="007F48B6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ж. 09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минуттан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3B49">
        <w:rPr>
          <w:rFonts w:ascii="Times New Roman" w:hAnsi="Times New Roman" w:cs="Times New Roman"/>
          <w:bCs/>
          <w:sz w:val="24"/>
          <w:szCs w:val="24"/>
        </w:rPr>
        <w:t>1</w:t>
      </w:r>
      <w:r w:rsidR="00785B0B">
        <w:rPr>
          <w:rFonts w:ascii="Times New Roman" w:hAnsi="Times New Roman" w:cs="Times New Roman"/>
          <w:bCs/>
          <w:sz w:val="24"/>
          <w:szCs w:val="24"/>
        </w:rPr>
        <w:t>2</w:t>
      </w:r>
      <w:bookmarkStart w:id="0" w:name="_GoBack"/>
      <w:bookmarkEnd w:id="0"/>
      <w:r w:rsidR="00C05D58" w:rsidRPr="003F10BE">
        <w:rPr>
          <w:rFonts w:ascii="Times New Roman" w:hAnsi="Times New Roman" w:cs="Times New Roman"/>
          <w:bCs/>
          <w:sz w:val="24"/>
          <w:szCs w:val="24"/>
        </w:rPr>
        <w:t>.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="007F48B6">
        <w:rPr>
          <w:rFonts w:ascii="Times New Roman" w:hAnsi="Times New Roman" w:cs="Times New Roman"/>
          <w:bCs/>
          <w:sz w:val="24"/>
          <w:szCs w:val="24"/>
          <w:lang w:val="kk-KZ"/>
        </w:rPr>
        <w:t>7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.202</w:t>
      </w:r>
      <w:r w:rsidR="005D1C26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4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ж. 10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минутқа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жұмыс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режимі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демалыс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күндерін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қоспағанда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, 08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минуттан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17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минутқа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күндер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мен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түскі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үзіліс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13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минуттан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14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00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минутқа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Б</w:t>
      </w:r>
      <w:proofErr w:type="spellStart"/>
      <w:r w:rsidR="00766FDF" w:rsidRPr="003F10BE">
        <w:rPr>
          <w:rFonts w:ascii="Times New Roman" w:hAnsi="Times New Roman" w:cs="Times New Roman"/>
          <w:bCs/>
          <w:sz w:val="24"/>
          <w:szCs w:val="24"/>
        </w:rPr>
        <w:t>аға</w:t>
      </w:r>
      <w:proofErr w:type="spellEnd"/>
      <w:r w:rsidR="00766FDF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66FDF" w:rsidRPr="003F10BE">
        <w:rPr>
          <w:rFonts w:ascii="Times New Roman" w:hAnsi="Times New Roman" w:cs="Times New Roman"/>
          <w:bCs/>
          <w:sz w:val="24"/>
          <w:szCs w:val="24"/>
        </w:rPr>
        <w:t>ұсыныстары</w:t>
      </w:r>
      <w:proofErr w:type="spellEnd"/>
      <w:r w:rsidR="00766FDF" w:rsidRPr="003F10BE">
        <w:rPr>
          <w:rFonts w:ascii="Times New Roman" w:hAnsi="Times New Roman" w:cs="Times New Roman"/>
          <w:bCs/>
          <w:sz w:val="24"/>
          <w:szCs w:val="24"/>
        </w:rPr>
        <w:t xml:space="preserve"> бар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к</w:t>
      </w:r>
      <w:proofErr w:type="spellStart"/>
      <w:r w:rsidR="00766FDF" w:rsidRPr="003F10BE">
        <w:rPr>
          <w:rFonts w:ascii="Times New Roman" w:hAnsi="Times New Roman" w:cs="Times New Roman"/>
          <w:bCs/>
          <w:sz w:val="24"/>
          <w:szCs w:val="24"/>
        </w:rPr>
        <w:t>онверттер</w:t>
      </w:r>
      <w:proofErr w:type="spellEnd"/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2 </w:t>
      </w:r>
      <w:proofErr w:type="spellStart"/>
      <w:r w:rsidR="00C05D58" w:rsidRPr="003F10BE">
        <w:rPr>
          <w:rFonts w:ascii="Times New Roman" w:hAnsi="Times New Roman" w:cs="Times New Roman"/>
          <w:bCs/>
          <w:sz w:val="24"/>
          <w:szCs w:val="24"/>
        </w:rPr>
        <w:t>сағат</w:t>
      </w:r>
      <w:proofErr w:type="spellEnd"/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ішінде 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C05D58" w:rsidRPr="003F10BE">
        <w:rPr>
          <w:rFonts w:ascii="Times New Roman" w:hAnsi="Times New Roman" w:cs="Times New Roman"/>
          <w:bCs/>
          <w:sz w:val="24"/>
          <w:szCs w:val="24"/>
        </w:rPr>
        <w:t>ш</w:t>
      </w:r>
      <w:r w:rsidR="00766FDF" w:rsidRPr="003F10BE">
        <w:rPr>
          <w:rFonts w:ascii="Times New Roman" w:hAnsi="Times New Roman" w:cs="Times New Roman"/>
          <w:bCs/>
          <w:sz w:val="24"/>
          <w:szCs w:val="24"/>
          <w:lang w:val="kk-KZ"/>
        </w:rPr>
        <w:t>ылады.</w:t>
      </w:r>
      <w:r w:rsidR="00FA48B9" w:rsidRPr="00FA48B9">
        <w:t xml:space="preserve"> 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саласындағы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уәкілетті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орган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бекіткен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үлгі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шартының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фармацевтикалық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шартының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талаптары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сақталып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тауарды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фармацевтикалық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қызметтер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көрсетуге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келісімін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білдіретін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болып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табылады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соңғы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мерзімі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өткенге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дейін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желімделген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түрде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тек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бір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ғана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береді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Конверт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саласындағы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уәкілетті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орган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бекіткен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нысан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бойынша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белгілеген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мерзімде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лицензиялау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рұқсат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рәсімдері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арқылы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рұқсат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беру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органдары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әрекеттерді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операцияларды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жеке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заңды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тұлғаның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құқығын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растайтын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рұқсатты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сондай-ақ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ұсынылатын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3F10BE">
        <w:rPr>
          <w:rFonts w:ascii="Times New Roman" w:hAnsi="Times New Roman" w:cs="Times New Roman"/>
          <w:bCs/>
          <w:sz w:val="24"/>
          <w:szCs w:val="24"/>
        </w:rPr>
        <w:t>тауарлардың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Қағидалардың</w:t>
      </w:r>
      <w:proofErr w:type="spellEnd"/>
      <w:proofErr w:type="gram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* 4-тарауында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белгіленген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талаптарға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сәйкестігін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растайтын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құжаттарды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8.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бар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мөрленген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конверттің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беткі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жағында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көрсетеді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: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жеткізушінің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орналасқан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жерінің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байланыс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телефоны,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электрондық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ұйымдастырушының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мекен-жайы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қызмет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көрсетушілерінің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қатысу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үшін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ұсынатын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тауарларды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алулардың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атауы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Белгіленген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мерзім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өткеннен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кейін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хабарландырудың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7-тармағының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талаптарын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бұза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отырып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берілген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бар Конверт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бар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конверттерді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тіркеу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журналында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тіркелмейді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және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әлеуетті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өнім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қайтарылады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273C00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сұрату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тәсілімен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жүзеге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асыру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кезінде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немесе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ұйымдастырушы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баға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ұсыныстарын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қабылдау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аяқталған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күннен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бастап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күнтізбелік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он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күн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ішінде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қорытындылар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хаттамасын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жасайды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Хаттама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Тапсырыс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берушінің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интернет-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ресурсында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Cs/>
          <w:sz w:val="24"/>
          <w:szCs w:val="24"/>
        </w:rPr>
        <w:t>орналастырылады</w:t>
      </w:r>
      <w:proofErr w:type="spellEnd"/>
      <w:r w:rsidRPr="003F10BE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9" w:history="1">
        <w:r w:rsidR="00273C00" w:rsidRPr="003F10BE">
          <w:rPr>
            <w:rStyle w:val="ad"/>
            <w:rFonts w:ascii="Times New Roman" w:hAnsi="Times New Roman" w:cs="Times New Roman"/>
            <w:bCs/>
            <w:sz w:val="24"/>
            <w:szCs w:val="24"/>
          </w:rPr>
          <w:t>https://almaty-roddom2.kz</w:t>
        </w:r>
      </w:hyperlink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3F10BE">
        <w:rPr>
          <w:rFonts w:ascii="Times New Roman" w:hAnsi="Times New Roman" w:cs="Times New Roman"/>
          <w:bCs/>
          <w:sz w:val="24"/>
          <w:szCs w:val="24"/>
        </w:rPr>
        <w:t xml:space="preserve">11.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алуды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ұйымдастырушының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уәкілетті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өкілі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Кәрібаев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Бауыржан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Төлегенұлы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Мемлекеттік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сатып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алу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бөлімінің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бастығы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 xml:space="preserve"> тел: +7-777-883-01-01, эл. </w:t>
      </w:r>
      <w:proofErr w:type="spellStart"/>
      <w:r w:rsidR="00273C00" w:rsidRPr="003F10BE">
        <w:rPr>
          <w:rFonts w:ascii="Times New Roman" w:hAnsi="Times New Roman" w:cs="Times New Roman"/>
          <w:bCs/>
          <w:sz w:val="24"/>
          <w:szCs w:val="24"/>
        </w:rPr>
        <w:t>мекен-жайы</w:t>
      </w:r>
      <w:proofErr w:type="spellEnd"/>
      <w:r w:rsidR="00273C00" w:rsidRPr="003F10BE">
        <w:rPr>
          <w:rFonts w:ascii="Times New Roman" w:hAnsi="Times New Roman" w:cs="Times New Roman"/>
          <w:bCs/>
          <w:sz w:val="24"/>
          <w:szCs w:val="24"/>
        </w:rPr>
        <w:t>: zakup_gpc2@mail.ru</w:t>
      </w:r>
    </w:p>
    <w:p w:rsidR="000C05E3" w:rsidRPr="003F10BE" w:rsidRDefault="000C05E3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  <w:r w:rsidR="00273C00" w:rsidRPr="003F10BE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273C00" w:rsidRPr="003F10BE" w:rsidRDefault="00273C00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C05E3" w:rsidRPr="003F10BE" w:rsidRDefault="00C05D58" w:rsidP="000C05E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10BE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Қазақстан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Республикасы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Денсаулық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сақтау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министрінің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2023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жылғы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7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маусымдағы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 xml:space="preserve"> №110 </w:t>
      </w:r>
      <w:proofErr w:type="spellStart"/>
      <w:r w:rsidRPr="003F10BE">
        <w:rPr>
          <w:rFonts w:ascii="Times New Roman" w:hAnsi="Times New Roman" w:cs="Times New Roman"/>
          <w:b/>
          <w:sz w:val="24"/>
          <w:szCs w:val="24"/>
        </w:rPr>
        <w:t>бұйрығы</w:t>
      </w:r>
      <w:proofErr w:type="spellEnd"/>
      <w:r w:rsidRPr="003F10BE">
        <w:rPr>
          <w:rFonts w:ascii="Times New Roman" w:hAnsi="Times New Roman" w:cs="Times New Roman"/>
          <w:b/>
          <w:sz w:val="24"/>
          <w:szCs w:val="24"/>
        </w:rPr>
        <w:t>.</w:t>
      </w:r>
    </w:p>
    <w:p w:rsidR="000C05E3" w:rsidRPr="000C05E3" w:rsidRDefault="000C05E3" w:rsidP="000C05E3">
      <w:pPr>
        <w:pStyle w:val="a3"/>
        <w:rPr>
          <w:rFonts w:ascii="Times New Roman" w:hAnsi="Times New Roman" w:cs="Times New Roman"/>
          <w:b/>
        </w:rPr>
      </w:pPr>
    </w:p>
    <w:p w:rsidR="00C05D58" w:rsidRDefault="00C05D58" w:rsidP="000C05E3">
      <w:pPr>
        <w:pStyle w:val="a3"/>
        <w:jc w:val="center"/>
        <w:rPr>
          <w:rFonts w:ascii="Times New Roman" w:hAnsi="Times New Roman" w:cs="Times New Roman"/>
          <w:b/>
        </w:rPr>
      </w:pPr>
    </w:p>
    <w:p w:rsidR="000C05E3" w:rsidRPr="000C05E3" w:rsidRDefault="000C05E3" w:rsidP="00DC7BD1">
      <w:pPr>
        <w:pStyle w:val="a3"/>
        <w:jc w:val="right"/>
        <w:rPr>
          <w:rFonts w:ascii="Times New Roman" w:hAnsi="Times New Roman" w:cs="Times New Roman"/>
          <w:b/>
        </w:rPr>
      </w:pPr>
      <w:r w:rsidRPr="000C05E3">
        <w:rPr>
          <w:rFonts w:ascii="Times New Roman" w:hAnsi="Times New Roman" w:cs="Times New Roman"/>
          <w:b/>
        </w:rPr>
        <w:lastRenderedPageBreak/>
        <w:t xml:space="preserve">№ 1 </w:t>
      </w:r>
      <w:proofErr w:type="spellStart"/>
      <w:r w:rsidRPr="000C05E3">
        <w:rPr>
          <w:rFonts w:ascii="Times New Roman" w:hAnsi="Times New Roman" w:cs="Times New Roman"/>
          <w:b/>
        </w:rPr>
        <w:t>Қосымша</w:t>
      </w:r>
      <w:proofErr w:type="spellEnd"/>
      <w:r w:rsidRPr="000C05E3">
        <w:rPr>
          <w:rFonts w:ascii="Times New Roman" w:hAnsi="Times New Roman" w:cs="Times New Roman"/>
          <w:b/>
        </w:rPr>
        <w:t>/Приложение №1</w:t>
      </w:r>
    </w:p>
    <w:p w:rsidR="000C05E3" w:rsidRPr="000C05E3" w:rsidRDefault="000C05E3" w:rsidP="00DC7BD1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 w:rsidRPr="000C05E3">
        <w:rPr>
          <w:rFonts w:ascii="Times New Roman" w:hAnsi="Times New Roman" w:cs="Times New Roman"/>
          <w:b/>
        </w:rPr>
        <w:t>сатып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алынатын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медициналық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заттардың</w:t>
      </w:r>
      <w:proofErr w:type="spellEnd"/>
      <w:r w:rsidRPr="000C05E3">
        <w:rPr>
          <w:rFonts w:ascii="Times New Roman" w:hAnsi="Times New Roman" w:cs="Times New Roman"/>
          <w:b/>
        </w:rPr>
        <w:t xml:space="preserve"> </w:t>
      </w:r>
      <w:proofErr w:type="spellStart"/>
      <w:r w:rsidRPr="000C05E3">
        <w:rPr>
          <w:rFonts w:ascii="Times New Roman" w:hAnsi="Times New Roman" w:cs="Times New Roman"/>
          <w:b/>
        </w:rPr>
        <w:t>Тізбесі</w:t>
      </w:r>
      <w:proofErr w:type="spellEnd"/>
      <w:r w:rsidRPr="000C05E3">
        <w:rPr>
          <w:rFonts w:ascii="Times New Roman" w:hAnsi="Times New Roman" w:cs="Times New Roman"/>
          <w:b/>
        </w:rPr>
        <w:t xml:space="preserve">/Перечень закупаемых медицинских изделий </w:t>
      </w:r>
    </w:p>
    <w:p w:rsidR="000C05E3" w:rsidRPr="000C05E3" w:rsidRDefault="000C05E3" w:rsidP="000C05E3">
      <w:pPr>
        <w:pStyle w:val="a3"/>
        <w:rPr>
          <w:rFonts w:ascii="Times New Roman" w:hAnsi="Times New Roman" w:cs="Times New Roman"/>
          <w:b/>
        </w:rPr>
      </w:pPr>
    </w:p>
    <w:p w:rsidR="008A16E7" w:rsidRDefault="008A16E7" w:rsidP="008A16E7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f"/>
        <w:tblW w:w="15659" w:type="dxa"/>
        <w:tblLook w:val="04A0" w:firstRow="1" w:lastRow="0" w:firstColumn="1" w:lastColumn="0" w:noHBand="0" w:noVBand="1"/>
      </w:tblPr>
      <w:tblGrid>
        <w:gridCol w:w="534"/>
        <w:gridCol w:w="3572"/>
        <w:gridCol w:w="7088"/>
        <w:gridCol w:w="1067"/>
        <w:gridCol w:w="850"/>
        <w:gridCol w:w="1273"/>
        <w:gridCol w:w="1275"/>
      </w:tblGrid>
      <w:tr w:rsidR="0004612D" w:rsidRPr="0078668E" w:rsidTr="009B5E8B">
        <w:trPr>
          <w:trHeight w:val="630"/>
        </w:trPr>
        <w:tc>
          <w:tcPr>
            <w:tcW w:w="534" w:type="dxa"/>
            <w:vAlign w:val="center"/>
            <w:hideMark/>
          </w:tcPr>
          <w:p w:rsidR="0004612D" w:rsidRPr="0078668E" w:rsidRDefault="0004612D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572" w:type="dxa"/>
            <w:noWrap/>
            <w:vAlign w:val="center"/>
            <w:hideMark/>
          </w:tcPr>
          <w:p w:rsidR="0004612D" w:rsidRPr="0078668E" w:rsidRDefault="0004612D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8" w:type="dxa"/>
            <w:vAlign w:val="center"/>
          </w:tcPr>
          <w:p w:rsidR="0004612D" w:rsidRPr="0078668E" w:rsidRDefault="007029EA" w:rsidP="00E85498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067" w:type="dxa"/>
            <w:vAlign w:val="center"/>
            <w:hideMark/>
          </w:tcPr>
          <w:p w:rsidR="0004612D" w:rsidRPr="0078668E" w:rsidRDefault="0004612D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0" w:type="dxa"/>
            <w:vAlign w:val="center"/>
            <w:hideMark/>
          </w:tcPr>
          <w:p w:rsidR="0004612D" w:rsidRPr="0078668E" w:rsidRDefault="0004612D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Кол-во</w:t>
            </w:r>
          </w:p>
        </w:tc>
        <w:tc>
          <w:tcPr>
            <w:tcW w:w="1273" w:type="dxa"/>
            <w:noWrap/>
            <w:vAlign w:val="center"/>
            <w:hideMark/>
          </w:tcPr>
          <w:p w:rsidR="0004612D" w:rsidRPr="0078668E" w:rsidRDefault="0004612D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Цена</w:t>
            </w:r>
          </w:p>
        </w:tc>
        <w:tc>
          <w:tcPr>
            <w:tcW w:w="1275" w:type="dxa"/>
            <w:noWrap/>
            <w:vAlign w:val="center"/>
            <w:hideMark/>
          </w:tcPr>
          <w:p w:rsidR="0004612D" w:rsidRPr="0078668E" w:rsidRDefault="0004612D" w:rsidP="00B27718">
            <w:pPr>
              <w:pStyle w:val="a3"/>
              <w:tabs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6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0B7F56" w:rsidRPr="0078668E" w:rsidTr="009B5E8B">
        <w:trPr>
          <w:trHeight w:val="315"/>
        </w:trPr>
        <w:tc>
          <w:tcPr>
            <w:tcW w:w="534" w:type="dxa"/>
            <w:noWrap/>
            <w:vAlign w:val="center"/>
          </w:tcPr>
          <w:p w:rsidR="000B7F56" w:rsidRPr="0078668E" w:rsidRDefault="00785B0B" w:rsidP="000B7F56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72" w:type="dxa"/>
            <w:shd w:val="clear" w:color="000000" w:fill="FFFFFF"/>
            <w:noWrap/>
            <w:vAlign w:val="center"/>
          </w:tcPr>
          <w:p w:rsidR="000B7F56" w:rsidRPr="0078668E" w:rsidRDefault="00785B0B" w:rsidP="000B7F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Фильтр </w:t>
            </w:r>
            <w:proofErr w:type="spellStart"/>
            <w:r>
              <w:rPr>
                <w:color w:val="000000"/>
                <w:sz w:val="20"/>
                <w:szCs w:val="20"/>
              </w:rPr>
              <w:t>электростатистический</w:t>
            </w:r>
            <w:proofErr w:type="spellEnd"/>
          </w:p>
        </w:tc>
        <w:tc>
          <w:tcPr>
            <w:tcW w:w="7088" w:type="dxa"/>
            <w:shd w:val="clear" w:color="000000" w:fill="FFFFFF"/>
            <w:vAlign w:val="center"/>
          </w:tcPr>
          <w:p w:rsidR="000B7F56" w:rsidRPr="00785B0B" w:rsidRDefault="00785B0B" w:rsidP="000B7F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Фильтр </w:t>
            </w:r>
            <w:proofErr w:type="spellStart"/>
            <w:r>
              <w:rPr>
                <w:color w:val="000000"/>
                <w:sz w:val="20"/>
                <w:szCs w:val="20"/>
              </w:rPr>
              <w:t>электростатистический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совместимый с аппаратом «Транспортный </w:t>
            </w:r>
            <w:proofErr w:type="spellStart"/>
            <w:r>
              <w:rPr>
                <w:color w:val="000000"/>
                <w:sz w:val="20"/>
                <w:szCs w:val="20"/>
              </w:rPr>
              <w:t>мнкубатор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Atom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Transcapsule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V-</w:t>
            </w:r>
            <w:proofErr w:type="gramStart"/>
            <w:r>
              <w:rPr>
                <w:color w:val="000000"/>
                <w:sz w:val="20"/>
                <w:szCs w:val="20"/>
                <w:lang w:val="en-US"/>
              </w:rPr>
              <w:t xml:space="preserve">808 </w:t>
            </w:r>
            <w:r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комплекте» Япония. Для предотвращения попадания пыли и мельчайших частиц размером от 0,1 микрон. Эффективность фильтрации 99,9%</w:t>
            </w:r>
          </w:p>
        </w:tc>
        <w:tc>
          <w:tcPr>
            <w:tcW w:w="1067" w:type="dxa"/>
            <w:shd w:val="clear" w:color="000000" w:fill="FFFFFF"/>
            <w:noWrap/>
            <w:vAlign w:val="center"/>
          </w:tcPr>
          <w:p w:rsidR="000B7F56" w:rsidRPr="0078668E" w:rsidRDefault="00785B0B" w:rsidP="000B7F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0B7F56" w:rsidRPr="0078668E" w:rsidRDefault="00785B0B" w:rsidP="000B7F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0B7F56" w:rsidRPr="0078668E" w:rsidRDefault="00785B0B" w:rsidP="000B7F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0B7F56" w:rsidRPr="0078668E" w:rsidRDefault="00785B0B" w:rsidP="000B7F56">
            <w:pPr>
              <w:jc w:val="right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350000</w:t>
            </w:r>
          </w:p>
        </w:tc>
      </w:tr>
      <w:tr w:rsidR="00785B0B" w:rsidRPr="0078668E" w:rsidTr="009B5E8B">
        <w:trPr>
          <w:trHeight w:val="315"/>
        </w:trPr>
        <w:tc>
          <w:tcPr>
            <w:tcW w:w="534" w:type="dxa"/>
            <w:noWrap/>
            <w:vAlign w:val="center"/>
          </w:tcPr>
          <w:p w:rsidR="00785B0B" w:rsidRPr="0078668E" w:rsidRDefault="00785B0B" w:rsidP="000B7F56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72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Аккумуляторы</w:t>
            </w:r>
          </w:p>
        </w:tc>
        <w:tc>
          <w:tcPr>
            <w:tcW w:w="7088" w:type="dxa"/>
            <w:shd w:val="clear" w:color="000000" w:fill="FFFFFF"/>
            <w:vAlign w:val="center"/>
          </w:tcPr>
          <w:p w:rsidR="00785B0B" w:rsidRPr="0078668E" w:rsidRDefault="00785B0B" w:rsidP="000B7F5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Аккумуляторные батареи совместимые с аппаратом </w:t>
            </w:r>
            <w:r w:rsidRPr="00785B0B">
              <w:rPr>
                <w:color w:val="000000"/>
                <w:sz w:val="20"/>
                <w:szCs w:val="20"/>
              </w:rPr>
              <w:t xml:space="preserve">«Транспортный </w:t>
            </w:r>
            <w:proofErr w:type="spellStart"/>
            <w:r w:rsidRPr="00785B0B">
              <w:rPr>
                <w:color w:val="000000"/>
                <w:sz w:val="20"/>
                <w:szCs w:val="20"/>
              </w:rPr>
              <w:t>мнкубатор</w:t>
            </w:r>
            <w:proofErr w:type="spellEnd"/>
            <w:r w:rsidRPr="00785B0B">
              <w:rPr>
                <w:color w:val="000000"/>
                <w:sz w:val="20"/>
                <w:szCs w:val="20"/>
              </w:rPr>
              <w:t xml:space="preserve"> </w:t>
            </w:r>
            <w:r w:rsidRPr="00785B0B">
              <w:rPr>
                <w:color w:val="000000"/>
                <w:sz w:val="20"/>
                <w:szCs w:val="20"/>
                <w:lang w:val="en-US"/>
              </w:rPr>
              <w:t xml:space="preserve">Atom </w:t>
            </w:r>
            <w:proofErr w:type="spellStart"/>
            <w:r w:rsidRPr="00785B0B">
              <w:rPr>
                <w:color w:val="000000"/>
                <w:sz w:val="20"/>
                <w:szCs w:val="20"/>
                <w:lang w:val="en-US"/>
              </w:rPr>
              <w:t>Transcapsule</w:t>
            </w:r>
            <w:proofErr w:type="spellEnd"/>
            <w:r w:rsidRPr="00785B0B">
              <w:rPr>
                <w:color w:val="000000"/>
                <w:sz w:val="20"/>
                <w:szCs w:val="20"/>
                <w:lang w:val="en-US"/>
              </w:rPr>
              <w:t xml:space="preserve"> V-</w:t>
            </w:r>
            <w:proofErr w:type="gramStart"/>
            <w:r w:rsidRPr="00785B0B">
              <w:rPr>
                <w:color w:val="000000"/>
                <w:sz w:val="20"/>
                <w:szCs w:val="20"/>
                <w:lang w:val="en-US"/>
              </w:rPr>
              <w:t xml:space="preserve">808 </w:t>
            </w:r>
            <w:r w:rsidRPr="00785B0B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785B0B">
              <w:rPr>
                <w:color w:val="000000"/>
                <w:sz w:val="20"/>
                <w:szCs w:val="20"/>
              </w:rPr>
              <w:t xml:space="preserve"> комплекте» Япония.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Комплект батарей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включающий три батареи: для основного блока инкубатора, основания и блока ИВЛ.</w:t>
            </w:r>
          </w:p>
        </w:tc>
        <w:tc>
          <w:tcPr>
            <w:tcW w:w="1067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310000</w:t>
            </w: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jc w:val="right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310000</w:t>
            </w:r>
          </w:p>
        </w:tc>
      </w:tr>
      <w:tr w:rsidR="00785B0B" w:rsidRPr="0078668E" w:rsidTr="009B5E8B">
        <w:trPr>
          <w:trHeight w:val="315"/>
        </w:trPr>
        <w:tc>
          <w:tcPr>
            <w:tcW w:w="534" w:type="dxa"/>
            <w:noWrap/>
            <w:vAlign w:val="center"/>
          </w:tcPr>
          <w:p w:rsidR="00785B0B" w:rsidRPr="0078668E" w:rsidRDefault="00785B0B" w:rsidP="000B7F56">
            <w:pPr>
              <w:pStyle w:val="a3"/>
              <w:tabs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shd w:val="clear" w:color="000000" w:fill="FFFFFF"/>
            <w:vAlign w:val="center"/>
          </w:tcPr>
          <w:p w:rsidR="00785B0B" w:rsidRPr="0078668E" w:rsidRDefault="00785B0B" w:rsidP="000B7F5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000000" w:fill="FFFFFF"/>
            <w:noWrap/>
            <w:vAlign w:val="center"/>
          </w:tcPr>
          <w:p w:rsidR="00785B0B" w:rsidRPr="0078668E" w:rsidRDefault="00785B0B" w:rsidP="000B7F56">
            <w:pPr>
              <w:jc w:val="right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650000</w:t>
            </w:r>
          </w:p>
        </w:tc>
      </w:tr>
    </w:tbl>
    <w:p w:rsidR="00395FD9" w:rsidRDefault="00395FD9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0B61A2" w:rsidRDefault="000B61A2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0B61A2" w:rsidRDefault="000B61A2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p w:rsidR="000B61A2" w:rsidRPr="000B61A2" w:rsidRDefault="000B61A2" w:rsidP="000B61A2">
      <w:pPr>
        <w:pStyle w:val="a3"/>
        <w:ind w:left="2832"/>
        <w:rPr>
          <w:rFonts w:ascii="Times New Roman" w:hAnsi="Times New Roman" w:cs="Times New Roman"/>
          <w:b/>
          <w:bCs/>
          <w:sz w:val="20"/>
          <w:szCs w:val="20"/>
        </w:rPr>
      </w:pPr>
      <w:r w:rsidRPr="000B61A2">
        <w:rPr>
          <w:rFonts w:ascii="Times New Roman" w:hAnsi="Times New Roman" w:cs="Times New Roman"/>
          <w:b/>
          <w:bCs/>
          <w:sz w:val="20"/>
          <w:szCs w:val="20"/>
        </w:rPr>
        <w:t>Директор                                                                                                      С.</w:t>
      </w:r>
      <w:r w:rsidR="00C972C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B61A2">
        <w:rPr>
          <w:rFonts w:ascii="Times New Roman" w:hAnsi="Times New Roman" w:cs="Times New Roman"/>
          <w:b/>
          <w:bCs/>
          <w:sz w:val="20"/>
          <w:szCs w:val="20"/>
        </w:rPr>
        <w:t>Рахимова</w:t>
      </w:r>
    </w:p>
    <w:p w:rsidR="000B61A2" w:rsidRPr="00DC7BD1" w:rsidRDefault="000B61A2" w:rsidP="006B56FD">
      <w:pPr>
        <w:pStyle w:val="a3"/>
        <w:tabs>
          <w:tab w:val="right" w:pos="9355"/>
        </w:tabs>
        <w:rPr>
          <w:rFonts w:ascii="Times New Roman" w:hAnsi="Times New Roman" w:cs="Times New Roman"/>
          <w:sz w:val="18"/>
          <w:szCs w:val="18"/>
        </w:rPr>
      </w:pPr>
    </w:p>
    <w:sectPr w:rsidR="000B61A2" w:rsidRPr="00DC7BD1" w:rsidSect="00FA48B9">
      <w:pgSz w:w="16838" w:h="11906" w:orient="landscape"/>
      <w:pgMar w:top="426" w:right="962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552DA" w:rsidRDefault="006552DA" w:rsidP="0050378B">
      <w:r>
        <w:separator/>
      </w:r>
    </w:p>
  </w:endnote>
  <w:endnote w:type="continuationSeparator" w:id="0">
    <w:p w:rsidR="006552DA" w:rsidRDefault="006552DA" w:rsidP="0050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552DA" w:rsidRDefault="006552DA" w:rsidP="0050378B">
      <w:r>
        <w:separator/>
      </w:r>
    </w:p>
  </w:footnote>
  <w:footnote w:type="continuationSeparator" w:id="0">
    <w:p w:rsidR="006552DA" w:rsidRDefault="006552DA" w:rsidP="0050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F1257"/>
    <w:multiLevelType w:val="multilevel"/>
    <w:tmpl w:val="7E4C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C7114B"/>
    <w:multiLevelType w:val="multilevel"/>
    <w:tmpl w:val="5BAC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E54E3E"/>
    <w:multiLevelType w:val="hybridMultilevel"/>
    <w:tmpl w:val="DDB87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4F"/>
    <w:rsid w:val="000005A5"/>
    <w:rsid w:val="00021FE7"/>
    <w:rsid w:val="00041A6F"/>
    <w:rsid w:val="00043C1E"/>
    <w:rsid w:val="000457F0"/>
    <w:rsid w:val="0004612D"/>
    <w:rsid w:val="00046505"/>
    <w:rsid w:val="00046D00"/>
    <w:rsid w:val="000558C9"/>
    <w:rsid w:val="0006245F"/>
    <w:rsid w:val="0006276D"/>
    <w:rsid w:val="00066A3B"/>
    <w:rsid w:val="00075A38"/>
    <w:rsid w:val="00077E8E"/>
    <w:rsid w:val="0009313A"/>
    <w:rsid w:val="000A71E4"/>
    <w:rsid w:val="000A7EBE"/>
    <w:rsid w:val="000B32E4"/>
    <w:rsid w:val="000B5B73"/>
    <w:rsid w:val="000B61A2"/>
    <w:rsid w:val="000B7F56"/>
    <w:rsid w:val="000C05E3"/>
    <w:rsid w:val="000C269A"/>
    <w:rsid w:val="000C5801"/>
    <w:rsid w:val="000C5A57"/>
    <w:rsid w:val="000F7B92"/>
    <w:rsid w:val="001227E1"/>
    <w:rsid w:val="00124389"/>
    <w:rsid w:val="00135DFD"/>
    <w:rsid w:val="00145060"/>
    <w:rsid w:val="00152B00"/>
    <w:rsid w:val="00155A70"/>
    <w:rsid w:val="0016539F"/>
    <w:rsid w:val="00166199"/>
    <w:rsid w:val="00172D1E"/>
    <w:rsid w:val="001743BF"/>
    <w:rsid w:val="00190246"/>
    <w:rsid w:val="001A0F21"/>
    <w:rsid w:val="001A51AD"/>
    <w:rsid w:val="001A75F3"/>
    <w:rsid w:val="001A7D7D"/>
    <w:rsid w:val="001C1B36"/>
    <w:rsid w:val="001D1EA2"/>
    <w:rsid w:val="001E3A0D"/>
    <w:rsid w:val="001E5DBA"/>
    <w:rsid w:val="001F21B1"/>
    <w:rsid w:val="00206BCB"/>
    <w:rsid w:val="00213453"/>
    <w:rsid w:val="00213E32"/>
    <w:rsid w:val="0021578B"/>
    <w:rsid w:val="0022177A"/>
    <w:rsid w:val="00227C70"/>
    <w:rsid w:val="002312A0"/>
    <w:rsid w:val="00237DF0"/>
    <w:rsid w:val="00243B9E"/>
    <w:rsid w:val="002517E2"/>
    <w:rsid w:val="00254201"/>
    <w:rsid w:val="00255E23"/>
    <w:rsid w:val="002644FB"/>
    <w:rsid w:val="00267532"/>
    <w:rsid w:val="00273C00"/>
    <w:rsid w:val="002938D4"/>
    <w:rsid w:val="002A2C1B"/>
    <w:rsid w:val="002A39AC"/>
    <w:rsid w:val="002D4CB5"/>
    <w:rsid w:val="002E56A5"/>
    <w:rsid w:val="002E7D58"/>
    <w:rsid w:val="002F20C2"/>
    <w:rsid w:val="002F5F25"/>
    <w:rsid w:val="0030149B"/>
    <w:rsid w:val="0030360A"/>
    <w:rsid w:val="003039B0"/>
    <w:rsid w:val="0030555C"/>
    <w:rsid w:val="003128B3"/>
    <w:rsid w:val="00314130"/>
    <w:rsid w:val="0031561F"/>
    <w:rsid w:val="003173D6"/>
    <w:rsid w:val="00317BDF"/>
    <w:rsid w:val="00335380"/>
    <w:rsid w:val="00340770"/>
    <w:rsid w:val="0035397F"/>
    <w:rsid w:val="00357971"/>
    <w:rsid w:val="00365672"/>
    <w:rsid w:val="003749BB"/>
    <w:rsid w:val="00375811"/>
    <w:rsid w:val="0037672E"/>
    <w:rsid w:val="003817E0"/>
    <w:rsid w:val="003905E5"/>
    <w:rsid w:val="00391E26"/>
    <w:rsid w:val="00395DD1"/>
    <w:rsid w:val="00395FD9"/>
    <w:rsid w:val="003C30DC"/>
    <w:rsid w:val="003C4387"/>
    <w:rsid w:val="003D2F40"/>
    <w:rsid w:val="003D67E3"/>
    <w:rsid w:val="003E742A"/>
    <w:rsid w:val="003F10BE"/>
    <w:rsid w:val="00403ACD"/>
    <w:rsid w:val="0040433F"/>
    <w:rsid w:val="00410789"/>
    <w:rsid w:val="00420756"/>
    <w:rsid w:val="00424B42"/>
    <w:rsid w:val="00430AB3"/>
    <w:rsid w:val="00434DCC"/>
    <w:rsid w:val="00452FDB"/>
    <w:rsid w:val="00455806"/>
    <w:rsid w:val="00460DBC"/>
    <w:rsid w:val="004753FD"/>
    <w:rsid w:val="00482EE1"/>
    <w:rsid w:val="004852A8"/>
    <w:rsid w:val="0048772E"/>
    <w:rsid w:val="00490880"/>
    <w:rsid w:val="004A066C"/>
    <w:rsid w:val="004A125E"/>
    <w:rsid w:val="004C1BDF"/>
    <w:rsid w:val="004C2193"/>
    <w:rsid w:val="004C51F7"/>
    <w:rsid w:val="004C7B58"/>
    <w:rsid w:val="004E443B"/>
    <w:rsid w:val="004F2C1F"/>
    <w:rsid w:val="00500E7E"/>
    <w:rsid w:val="0050378B"/>
    <w:rsid w:val="00516F64"/>
    <w:rsid w:val="00522A84"/>
    <w:rsid w:val="00524839"/>
    <w:rsid w:val="00533749"/>
    <w:rsid w:val="00544A07"/>
    <w:rsid w:val="00550C71"/>
    <w:rsid w:val="005550AD"/>
    <w:rsid w:val="00566770"/>
    <w:rsid w:val="00566A21"/>
    <w:rsid w:val="00574E1C"/>
    <w:rsid w:val="00585439"/>
    <w:rsid w:val="00585D7D"/>
    <w:rsid w:val="005A4013"/>
    <w:rsid w:val="005B265A"/>
    <w:rsid w:val="005B2E00"/>
    <w:rsid w:val="005C5711"/>
    <w:rsid w:val="005D1C26"/>
    <w:rsid w:val="005E082C"/>
    <w:rsid w:val="005E68FC"/>
    <w:rsid w:val="005F5164"/>
    <w:rsid w:val="006024D1"/>
    <w:rsid w:val="00602A67"/>
    <w:rsid w:val="00626E19"/>
    <w:rsid w:val="00635502"/>
    <w:rsid w:val="00653AAE"/>
    <w:rsid w:val="006541BB"/>
    <w:rsid w:val="006552DA"/>
    <w:rsid w:val="0065599A"/>
    <w:rsid w:val="0065699C"/>
    <w:rsid w:val="00664024"/>
    <w:rsid w:val="006A1C02"/>
    <w:rsid w:val="006A24EF"/>
    <w:rsid w:val="006A36F2"/>
    <w:rsid w:val="006A4E95"/>
    <w:rsid w:val="006B56FD"/>
    <w:rsid w:val="006D464D"/>
    <w:rsid w:val="006F497F"/>
    <w:rsid w:val="007029EA"/>
    <w:rsid w:val="00715484"/>
    <w:rsid w:val="00716B09"/>
    <w:rsid w:val="00722452"/>
    <w:rsid w:val="00722713"/>
    <w:rsid w:val="00725F17"/>
    <w:rsid w:val="00732A45"/>
    <w:rsid w:val="00734DDD"/>
    <w:rsid w:val="007455D9"/>
    <w:rsid w:val="007504FA"/>
    <w:rsid w:val="0075310A"/>
    <w:rsid w:val="00753A4A"/>
    <w:rsid w:val="007574EB"/>
    <w:rsid w:val="007642F6"/>
    <w:rsid w:val="00766FDF"/>
    <w:rsid w:val="00773681"/>
    <w:rsid w:val="00785B0B"/>
    <w:rsid w:val="0078668E"/>
    <w:rsid w:val="00787DA6"/>
    <w:rsid w:val="007B577E"/>
    <w:rsid w:val="007D2312"/>
    <w:rsid w:val="007E5ADA"/>
    <w:rsid w:val="007F48B6"/>
    <w:rsid w:val="00806126"/>
    <w:rsid w:val="0081457F"/>
    <w:rsid w:val="008408F0"/>
    <w:rsid w:val="0084258F"/>
    <w:rsid w:val="008540CA"/>
    <w:rsid w:val="008625CD"/>
    <w:rsid w:val="00862C03"/>
    <w:rsid w:val="00865156"/>
    <w:rsid w:val="00884C2E"/>
    <w:rsid w:val="00887FD7"/>
    <w:rsid w:val="00894300"/>
    <w:rsid w:val="00894ADF"/>
    <w:rsid w:val="00895125"/>
    <w:rsid w:val="008A16E7"/>
    <w:rsid w:val="008B70B5"/>
    <w:rsid w:val="008C5421"/>
    <w:rsid w:val="008D234D"/>
    <w:rsid w:val="008D43BE"/>
    <w:rsid w:val="008D59B0"/>
    <w:rsid w:val="008D5F11"/>
    <w:rsid w:val="008E3834"/>
    <w:rsid w:val="008E526F"/>
    <w:rsid w:val="008F2E19"/>
    <w:rsid w:val="008F57F8"/>
    <w:rsid w:val="0090031C"/>
    <w:rsid w:val="009016F8"/>
    <w:rsid w:val="00904103"/>
    <w:rsid w:val="009113FB"/>
    <w:rsid w:val="009171DE"/>
    <w:rsid w:val="009243C9"/>
    <w:rsid w:val="0093232E"/>
    <w:rsid w:val="009366D0"/>
    <w:rsid w:val="009375F6"/>
    <w:rsid w:val="00950B59"/>
    <w:rsid w:val="009516E9"/>
    <w:rsid w:val="00955B47"/>
    <w:rsid w:val="00961FC2"/>
    <w:rsid w:val="00963087"/>
    <w:rsid w:val="0097383E"/>
    <w:rsid w:val="00983B8F"/>
    <w:rsid w:val="009B294F"/>
    <w:rsid w:val="009B4E98"/>
    <w:rsid w:val="009B5B90"/>
    <w:rsid w:val="009B5E8B"/>
    <w:rsid w:val="009C1A5E"/>
    <w:rsid w:val="009D6381"/>
    <w:rsid w:val="009D76E7"/>
    <w:rsid w:val="009E1140"/>
    <w:rsid w:val="009E2182"/>
    <w:rsid w:val="009E66A2"/>
    <w:rsid w:val="009F7E30"/>
    <w:rsid w:val="00A000BC"/>
    <w:rsid w:val="00A21366"/>
    <w:rsid w:val="00A2172E"/>
    <w:rsid w:val="00A2656C"/>
    <w:rsid w:val="00A30F70"/>
    <w:rsid w:val="00A409B9"/>
    <w:rsid w:val="00A42B74"/>
    <w:rsid w:val="00A46BD0"/>
    <w:rsid w:val="00A614EF"/>
    <w:rsid w:val="00A61E01"/>
    <w:rsid w:val="00A635C4"/>
    <w:rsid w:val="00A83823"/>
    <w:rsid w:val="00A91E37"/>
    <w:rsid w:val="00A96858"/>
    <w:rsid w:val="00AA203A"/>
    <w:rsid w:val="00AA4CD1"/>
    <w:rsid w:val="00AC241A"/>
    <w:rsid w:val="00AC409F"/>
    <w:rsid w:val="00AE53B0"/>
    <w:rsid w:val="00AE7E5F"/>
    <w:rsid w:val="00AF09AA"/>
    <w:rsid w:val="00AF4E21"/>
    <w:rsid w:val="00AF6724"/>
    <w:rsid w:val="00B00BD5"/>
    <w:rsid w:val="00B071E0"/>
    <w:rsid w:val="00B11D06"/>
    <w:rsid w:val="00B23970"/>
    <w:rsid w:val="00B24FBE"/>
    <w:rsid w:val="00B27718"/>
    <w:rsid w:val="00B32FF8"/>
    <w:rsid w:val="00B36A35"/>
    <w:rsid w:val="00B36C0C"/>
    <w:rsid w:val="00B4061B"/>
    <w:rsid w:val="00B463A4"/>
    <w:rsid w:val="00B50774"/>
    <w:rsid w:val="00B50D0A"/>
    <w:rsid w:val="00B53B49"/>
    <w:rsid w:val="00B9104D"/>
    <w:rsid w:val="00B9437C"/>
    <w:rsid w:val="00B94C99"/>
    <w:rsid w:val="00BA3D42"/>
    <w:rsid w:val="00BA66F2"/>
    <w:rsid w:val="00BB201A"/>
    <w:rsid w:val="00BB699F"/>
    <w:rsid w:val="00BD7B55"/>
    <w:rsid w:val="00C05D58"/>
    <w:rsid w:val="00C15D9E"/>
    <w:rsid w:val="00C16683"/>
    <w:rsid w:val="00C20BCD"/>
    <w:rsid w:val="00C31F63"/>
    <w:rsid w:val="00C473A3"/>
    <w:rsid w:val="00C66238"/>
    <w:rsid w:val="00C73FAE"/>
    <w:rsid w:val="00C9493C"/>
    <w:rsid w:val="00C972CB"/>
    <w:rsid w:val="00CA58F9"/>
    <w:rsid w:val="00CB2D59"/>
    <w:rsid w:val="00CB6622"/>
    <w:rsid w:val="00CC117E"/>
    <w:rsid w:val="00CC49C4"/>
    <w:rsid w:val="00CC4F28"/>
    <w:rsid w:val="00CD29FB"/>
    <w:rsid w:val="00CD6D70"/>
    <w:rsid w:val="00CF2348"/>
    <w:rsid w:val="00CF732A"/>
    <w:rsid w:val="00D0038A"/>
    <w:rsid w:val="00D03795"/>
    <w:rsid w:val="00D04354"/>
    <w:rsid w:val="00D05A5F"/>
    <w:rsid w:val="00D11CAB"/>
    <w:rsid w:val="00D22F5E"/>
    <w:rsid w:val="00D2514F"/>
    <w:rsid w:val="00D6403B"/>
    <w:rsid w:val="00D64194"/>
    <w:rsid w:val="00D67802"/>
    <w:rsid w:val="00D85419"/>
    <w:rsid w:val="00D87EE2"/>
    <w:rsid w:val="00D91016"/>
    <w:rsid w:val="00D92912"/>
    <w:rsid w:val="00DA3E89"/>
    <w:rsid w:val="00DB3443"/>
    <w:rsid w:val="00DC60E6"/>
    <w:rsid w:val="00DC7BD1"/>
    <w:rsid w:val="00DD3077"/>
    <w:rsid w:val="00DD7EBC"/>
    <w:rsid w:val="00DF6D09"/>
    <w:rsid w:val="00E03C2A"/>
    <w:rsid w:val="00E0667C"/>
    <w:rsid w:val="00E13511"/>
    <w:rsid w:val="00E138D5"/>
    <w:rsid w:val="00E16C6B"/>
    <w:rsid w:val="00E21743"/>
    <w:rsid w:val="00E26EB1"/>
    <w:rsid w:val="00E418CA"/>
    <w:rsid w:val="00E432A2"/>
    <w:rsid w:val="00E45699"/>
    <w:rsid w:val="00E62D76"/>
    <w:rsid w:val="00E85498"/>
    <w:rsid w:val="00E87EC9"/>
    <w:rsid w:val="00EA44EA"/>
    <w:rsid w:val="00EA4924"/>
    <w:rsid w:val="00EB10EE"/>
    <w:rsid w:val="00EB1986"/>
    <w:rsid w:val="00EB5CFD"/>
    <w:rsid w:val="00EC001B"/>
    <w:rsid w:val="00ED117E"/>
    <w:rsid w:val="00ED5C38"/>
    <w:rsid w:val="00EE5BCD"/>
    <w:rsid w:val="00EE73EB"/>
    <w:rsid w:val="00EF5E34"/>
    <w:rsid w:val="00F04E7F"/>
    <w:rsid w:val="00F1423C"/>
    <w:rsid w:val="00F247CA"/>
    <w:rsid w:val="00F349E5"/>
    <w:rsid w:val="00F43043"/>
    <w:rsid w:val="00F51C3C"/>
    <w:rsid w:val="00F86927"/>
    <w:rsid w:val="00FA48B9"/>
    <w:rsid w:val="00FB2CEE"/>
    <w:rsid w:val="00FB6D6E"/>
    <w:rsid w:val="00FD7AA5"/>
    <w:rsid w:val="00FE0269"/>
    <w:rsid w:val="00FE28BE"/>
    <w:rsid w:val="00FF65BA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983B"/>
  <w15:docId w15:val="{211FAF04-FDEF-4762-911F-24C8DF3D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D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D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D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E526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B11D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E52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 Indent"/>
    <w:basedOn w:val="a"/>
    <w:link w:val="a6"/>
    <w:rsid w:val="00D2514F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251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D25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D2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D25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D2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B29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94F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273C00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73C00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9366D0"/>
    <w:pPr>
      <w:widowControl w:val="0"/>
      <w:autoSpaceDE w:val="0"/>
      <w:autoSpaceDN w:val="0"/>
      <w:spacing w:before="49"/>
      <w:ind w:left="121"/>
    </w:pPr>
    <w:rPr>
      <w:sz w:val="22"/>
      <w:szCs w:val="22"/>
      <w:lang w:val="kk-KZ" w:eastAsia="en-US"/>
    </w:rPr>
  </w:style>
  <w:style w:type="table" w:styleId="af">
    <w:name w:val="Table Grid"/>
    <w:basedOn w:val="a1"/>
    <w:uiPriority w:val="59"/>
    <w:rsid w:val="0026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037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Normal (Web)"/>
    <w:basedOn w:val="a"/>
    <w:uiPriority w:val="99"/>
    <w:semiHidden/>
    <w:unhideWhenUsed/>
    <w:rsid w:val="00D0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_gpc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lmaty-roddom2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46914-148E-4D14-BF74-02A775408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Бухгалтерия</cp:lastModifiedBy>
  <cp:revision>7</cp:revision>
  <cp:lastPrinted>2024-06-10T04:09:00Z</cp:lastPrinted>
  <dcterms:created xsi:type="dcterms:W3CDTF">2024-04-23T14:15:00Z</dcterms:created>
  <dcterms:modified xsi:type="dcterms:W3CDTF">2024-07-05T05:07:00Z</dcterms:modified>
</cp:coreProperties>
</file>